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New Law College legal research center has established more than 5 Legal research centers for advanced learning. These centers conduct research, publish journals and promote academic activities. These Centers are a focal point for collaboration between and among the faculty in the University opening up immense opportunities for interdisciplinary research. All faculty members and students have access to all major online research databases including SCCOnline, HeinOnline, Manupatra, Westlaw, LexisNexis, etc. in the college Library. By having regular research workshops, public seminars, and distinguished public lectures, the college has sought to build a strong community of research and scholarship on campus.The post-graduate students and research scholars are taught Research Methodology and it is a compulsory credit course. The students are encouraged to publish in SCOPUS and UGC-CARE journals. The Research Scholars have to compulsorily publish in a minimum of two UGC-CARE or SCOPUS journals before the submission of their thesis. The students have to submit a dissertation and thesis for the course completion. Only original thesis/dissertation/manuscripts, which have not been published elsewhere, and no plagiarism is accepted for awarding the respective degree and/or for publication in the Bharati Law Review. </w:t>
      </w:r>
      <w:r w:rsidDel="00000000" w:rsidR="00000000" w:rsidRPr="00000000">
        <w:rPr>
          <w:rFonts w:ascii="Times New Roman" w:cs="Times New Roman" w:eastAsia="Times New Roman" w:hAnsi="Times New Roman"/>
          <w:color w:val="333333"/>
          <w:sz w:val="24"/>
          <w:szCs w:val="24"/>
          <w:rtl w:val="0"/>
        </w:rPr>
        <w:t xml:space="preserve">B</w:t>
      </w:r>
      <w:r w:rsidDel="00000000" w:rsidR="00000000" w:rsidRPr="00000000">
        <w:rPr>
          <w:rFonts w:ascii="Times New Roman" w:cs="Times New Roman" w:eastAsia="Times New Roman" w:hAnsi="Times New Roman"/>
          <w:sz w:val="24"/>
          <w:szCs w:val="24"/>
          <w:rtl w:val="0"/>
        </w:rPr>
        <w:t xml:space="preserve">.L.R. focuses on issues related to Administrative Law, Civil Procedure Law, Criminal Law, Criminal Procedure Law, Domestic Law, Economic Law, Environmental Law, Intellectual Property Law, Private International Law, Public International Law, Media Law, E-commerce, Banking, Insurance, Information Techno</w:t>
      </w:r>
      <w:r w:rsidDel="00000000" w:rsidR="00000000" w:rsidRPr="00000000">
        <w:rPr>
          <w:rFonts w:ascii="Times New Roman" w:cs="Times New Roman" w:eastAsia="Times New Roman" w:hAnsi="Times New Roman"/>
          <w:sz w:val="24"/>
          <w:szCs w:val="24"/>
          <w:highlight w:val="white"/>
          <w:rtl w:val="0"/>
        </w:rPr>
        <w:t xml:space="preserve">logy, Computer Science, Cyber Security, and emerging trends in allied subjects.It also encourages interdisciplinary research from the prospective authors.</w:t>
      </w:r>
      <w:r w:rsidDel="00000000" w:rsidR="00000000" w:rsidRPr="00000000">
        <w:rPr>
          <w:rFonts w:ascii="Times New Roman" w:cs="Times New Roman" w:eastAsia="Times New Roman" w:hAnsi="Times New Roman"/>
          <w:color w:val="333333"/>
          <w:sz w:val="24"/>
          <w:szCs w:val="24"/>
          <w:highlight w:val="white"/>
          <w:rtl w:val="0"/>
        </w:rPr>
        <w:t xml:space="preserve">Manuscript is accepted for publication only on the condition that they do not infringe the copyright or any other legal rights of any third party.</w:t>
      </w:r>
      <w:r w:rsidDel="00000000" w:rsidR="00000000" w:rsidRPr="00000000">
        <w:rPr>
          <w:rFonts w:ascii="Times New Roman" w:cs="Times New Roman" w:eastAsia="Times New Roman" w:hAnsi="Times New Roman"/>
          <w:sz w:val="24"/>
          <w:szCs w:val="24"/>
          <w:highlight w:val="white"/>
          <w:rtl w:val="0"/>
        </w:rPr>
        <w:t xml:space="preserve">It is indexed by  ICI, Indian Copernicus, 'Google Scholar’, Westlaw International, </w:t>
      </w:r>
      <w:hyperlink r:id="rId6">
        <w:r w:rsidDel="00000000" w:rsidR="00000000" w:rsidRPr="00000000">
          <w:rPr>
            <w:rFonts w:ascii="Times New Roman" w:cs="Times New Roman" w:eastAsia="Times New Roman" w:hAnsi="Times New Roman"/>
            <w:sz w:val="24"/>
            <w:szCs w:val="24"/>
            <w:highlight w:val="white"/>
            <w:rtl w:val="0"/>
          </w:rPr>
          <w:t xml:space="preserve">Manupatra. Supreme Court Cases Manuals. It</w:t>
        </w:r>
      </w:hyperlink>
      <w:r w:rsidDel="00000000" w:rsidR="00000000" w:rsidRPr="00000000">
        <w:rPr>
          <w:rFonts w:ascii="Times New Roman" w:cs="Times New Roman" w:eastAsia="Times New Roman" w:hAnsi="Times New Roman"/>
          <w:sz w:val="24"/>
          <w:szCs w:val="24"/>
          <w:highlight w:val="white"/>
          <w:rtl w:val="0"/>
        </w:rPr>
        <w:t xml:space="preserve"> has general  impact factor. It focuses on recent issues and challenges relating to laws. </w:t>
      </w:r>
    </w:p>
    <w:p w:rsidR="00000000" w:rsidDel="00000000" w:rsidP="00000000" w:rsidRDefault="00000000" w:rsidRPr="00000000" w14:paraId="00000002">
      <w:pPr>
        <w:widowControl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 The culture of ethics and academic honesty </w:t>
      </w:r>
      <w:r w:rsidDel="00000000" w:rsidR="00000000" w:rsidRPr="00000000">
        <w:rPr>
          <w:rFonts w:ascii="Times New Roman" w:cs="Times New Roman" w:eastAsia="Times New Roman" w:hAnsi="Times New Roman"/>
          <w:sz w:val="24"/>
          <w:szCs w:val="24"/>
          <w:rtl w:val="0"/>
        </w:rPr>
        <w:t xml:space="preserve">is strongly promoted among the faculty and students. In particular, students are informed at the Student Orientation Programme of each School about academic honesty and integrity and the consequences of not adhering to these norms. Every course manual given to students contains detailed warnings against academic dishonesty. Plagiarism awareness tutorials are conducted by faculty members so that students learn the basics of citation and avoid shortcuts to hard work. Students who engage in plagiarism in their written work are penalized. The college is using manual as well as URKUND software to check plagiarism. In case of any plagiarism the college reserves the right to reject the thesis. So far no search report has been found. The college takes the undertaking and declaration of the authors / scholars. The Research Cell also has an Ethics committee and Publication Oversight Committee which oversees the publication of the BLR and the ethical standards of the publications. The committee is chaired by the principal and the members include senior faculties who have adequate experience in research and publication. The research policy of the college promotes the motto of the University i.e., “Social Transformation Through Dynamic Education”.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manupatr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